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8640"/>
      </w:tblGrid>
      <w:tr>
        <w:tc>
          <w:tcPr>
            <w:tcW w:type="dxa" w:w="8640"/>
            <w:shd w:val="clear" w:color="auto" w:fill="0A192F"/>
            <w:tcBorders>
              <w:top w:val="single" w:sz="0" w:space="0" w:color="0A192F"/>
              <w:left w:val="single" w:sz="0" w:space="0" w:color="0A192F"/>
              <w:bottom w:val="single" w:sz="0" w:space="0" w:color="0A192F"/>
              <w:right w:val="single" w:sz="0" w:space="0" w:color="0A192F"/>
            </w:tcBorders>
          </w:tcPr>
          <w:p>
            <w:r>
              <w:rPr>
                <w:sz w:val="32"/>
              </w:rPr>
              <w:t xml:space="preserve">  </w:t>
            </w:r>
          </w:p>
        </w:tc>
      </w:tr>
    </w:tbl>
    <w:tbl>
      <w:tblPr>
        <w:tblW w:type="auto" w:w="0"/>
        <w:tblLook w:firstColumn="1" w:firstRow="1" w:lastColumn="0" w:lastRow="0" w:noHBand="0" w:noVBand="1" w:val="04A0"/>
      </w:tblPr>
      <w:tblGrid>
        <w:gridCol w:w="8640"/>
      </w:tblGrid>
      <w:tr>
        <w:tc>
          <w:tcPr>
            <w:tcW w:type="dxa" w:w="8640"/>
            <w:shd w:val="clear" w:color="auto" w:fill="B8956B"/>
            <w:tcBorders>
              <w:top w:val="single" w:sz="0" w:space="0" w:color="B8956B"/>
              <w:left w:val="single" w:sz="0" w:space="0" w:color="B8956B"/>
              <w:bottom w:val="single" w:sz="0" w:space="0" w:color="B8956B"/>
              <w:right w:val="single" w:sz="0" w:space="0" w:color="B8956B"/>
            </w:tcBorders>
          </w:tcPr>
          <w:p>
            <w:r>
              <w:rPr>
                <w:sz w:val="6"/>
              </w:rPr>
              <w:t xml:space="preserve"> </w:t>
            </w:r>
          </w:p>
        </w:tc>
      </w:tr>
    </w:tbl>
    <w:p>
      <w:pPr>
        <w:jc w:val="center"/>
      </w:pPr>
      <w:r>
        <w:drawing>
          <wp:inline xmlns:a="http://schemas.openxmlformats.org/drawingml/2006/main" xmlns:pic="http://schemas.openxmlformats.org/drawingml/2006/picture">
            <wp:extent cx="1554480" cy="1554480"/>
            <wp:docPr id="1" name="Picture 1"/>
            <wp:cNvGraphicFramePr>
              <a:graphicFrameLocks noChangeAspect="1"/>
            </wp:cNvGraphicFramePr>
            <a:graphic>
              <a:graphicData uri="http://schemas.openxmlformats.org/drawingml/2006/picture">
                <pic:pic>
                  <pic:nvPicPr>
                    <pic:cNvPr id="0" name="978d40001c304922_C819F0CA-8F51-40B5-9A32-86FF5212DA9C.png"/>
                    <pic:cNvPicPr/>
                  </pic:nvPicPr>
                  <pic:blipFill>
                    <a:blip r:embed="rId12"/>
                    <a:stretch>
                      <a:fillRect/>
                    </a:stretch>
                  </pic:blipFill>
                  <pic:spPr>
                    <a:xfrm>
                      <a:off x="0" y="0"/>
                      <a:ext cx="1554480" cy="1554480"/>
                    </a:xfrm>
                    <a:prstGeom prst="rect"/>
                  </pic:spPr>
                </pic:pic>
              </a:graphicData>
            </a:graphic>
          </wp:inline>
        </w:drawing>
      </w:r>
    </w:p>
    <w:p/>
    <w:p/>
    <w:p/>
    <w:p/>
    <w:p>
      <w:pPr>
        <w:spacing w:after="160"/>
        <w:jc w:val="left"/>
      </w:pPr>
      <w:r>
        <w:rPr>
          <w:rFonts w:ascii="Calibri" w:hAnsi="Calibri"/>
          <w:b/>
          <w:color w:val="B8956B"/>
          <w:sz w:val="18"/>
        </w:rPr>
        <w:t>PROPOSAL</w:t>
      </w:r>
    </w:p>
    <w:p>
      <w:pPr>
        <w:spacing w:after="200"/>
        <w:jc w:val="left"/>
        <w:bidi w:val="1"/>
      </w:pPr>
      <w:r>
        <w:rPr>
          <w:rFonts w:ascii="Calibri" w:hAnsi="Calibri"/>
          <w:b/>
          <w:color w:val="0A192F"/>
          <w:sz w:val="56"/>
          <w:rtl w:val="1"/>
        </w:rPr>
        <w:t>تقرير المشروع — حفظ الطعام الزائد ودعم الاستدامة</w:t>
      </w:r>
    </w:p>
    <w:p>
      <w:pPr>
        <w:pBdr>
          <w:bottom w:val="single" w:sz="18" w:space="1" w:color="B8956B"/>
        </w:pBdr>
        <w:spacing w:after="280"/>
      </w:pPr>
    </w:p>
    <w:p>
      <w:pPr>
        <w:spacing w:after="360"/>
        <w:jc w:val="left"/>
        <w:bidi w:val="1"/>
      </w:pPr>
      <w:r>
        <w:rPr>
          <w:rFonts w:ascii="Calibri" w:hAnsi="Calibri"/>
          <w:color w:val="1B3A5F"/>
          <w:sz w:val="26"/>
          <w:rtl w:val="1"/>
        </w:rPr>
        <w:t>سلطنة عُمان • نموذج خيري وبيئي ومستدام • أغسطس 2026</w:t>
      </w:r>
    </w:p>
    <w:tbl>
      <w:tblPr>
        <w:tblW w:type="auto" w:w="0"/>
        <w:tblLook w:firstColumn="1" w:firstRow="1" w:lastColumn="0" w:lastRow="0" w:noHBand="0" w:noVBand="1" w:val="04A0"/>
      </w:tblPr>
      <w:tblGrid>
        <w:gridCol w:w="2880"/>
        <w:gridCol w:w="2880"/>
        <w:gridCol w:w="2880"/>
      </w:tblGrid>
      <w:tr>
        <w:tc>
          <w:tcPr>
            <w:tcW w:type="dxa" w:w="2880"/>
            <w:shd w:val="clear" w:color="auto" w:fill="F7F5F0"/>
            <w:tcBorders>
              <w:top w:val="single" w:sz="4" w:space="0" w:color="E8E2D9"/>
              <w:left w:val="single" w:sz="4" w:space="0" w:color="E8E2D9"/>
              <w:bottom w:val="single" w:sz="4" w:space="0" w:color="E8E2D9"/>
              <w:right w:val="single" w:sz="4" w:space="0" w:color="E8E2D9"/>
            </w:tcBorders>
          </w:tcPr>
          <w:p>
            <w:r/>
            <w:r>
              <w:rPr>
                <w:rFonts w:ascii="Calibri" w:hAnsi="Calibri"/>
                <w:b/>
                <w:color w:val="B8956B"/>
                <w:sz w:val="16"/>
              </w:rPr>
              <w:t>PREPARED BY</w:t>
            </w:r>
          </w:p>
          <w:p>
            <w:r>
              <w:rPr>
                <w:rFonts w:ascii="Calibri" w:hAnsi="Calibri"/>
                <w:color w:val="0A192F"/>
                <w:sz w:val="22"/>
              </w:rPr>
              <w:t>—</w:t>
            </w:r>
          </w:p>
        </w:tc>
        <w:tc>
          <w:tcPr>
            <w:tcW w:type="dxa" w:w="2880"/>
            <w:shd w:val="clear" w:color="auto" w:fill="F7F5F0"/>
            <w:tcBorders>
              <w:top w:val="single" w:sz="4" w:space="0" w:color="E8E2D9"/>
              <w:left w:val="single" w:sz="4" w:space="0" w:color="E8E2D9"/>
              <w:bottom w:val="single" w:sz="4" w:space="0" w:color="E8E2D9"/>
              <w:right w:val="single" w:sz="4" w:space="0" w:color="E8E2D9"/>
            </w:tcBorders>
          </w:tcPr>
          <w:p>
            <w:r/>
            <w:r>
              <w:rPr>
                <w:rFonts w:ascii="Calibri" w:hAnsi="Calibri"/>
                <w:b/>
                <w:color w:val="B8956B"/>
                <w:sz w:val="16"/>
              </w:rPr>
              <w:t>DATE</w:t>
            </w:r>
          </w:p>
          <w:p>
            <w:r>
              <w:rPr>
                <w:rFonts w:ascii="Calibri" w:hAnsi="Calibri"/>
                <w:color w:val="0A192F"/>
                <w:sz w:val="22"/>
              </w:rPr>
              <w:t>2026-08-10</w:t>
            </w:r>
          </w:p>
        </w:tc>
        <w:tc>
          <w:tcPr>
            <w:tcW w:type="dxa" w:w="2880"/>
            <w:shd w:val="clear" w:color="auto" w:fill="F7F5F0"/>
            <w:tcBorders>
              <w:top w:val="single" w:sz="4" w:space="0" w:color="E8E2D9"/>
              <w:left w:val="single" w:sz="4" w:space="0" w:color="E8E2D9"/>
              <w:bottom w:val="single" w:sz="4" w:space="0" w:color="E8E2D9"/>
              <w:right w:val="single" w:sz="4" w:space="0" w:color="E8E2D9"/>
            </w:tcBorders>
          </w:tcPr>
          <w:p>
            <w:r/>
            <w:r>
              <w:rPr>
                <w:rFonts w:ascii="Calibri" w:hAnsi="Calibri"/>
                <w:b/>
                <w:color w:val="B8956B"/>
                <w:sz w:val="16"/>
              </w:rPr>
              <w:t>STATUS</w:t>
            </w:r>
          </w:p>
          <w:p>
            <w:r>
              <w:rPr>
                <w:rFonts w:ascii="Calibri" w:hAnsi="Calibri"/>
                <w:color w:val="0A192F"/>
                <w:sz w:val="22"/>
              </w:rPr>
              <w:t>Confidential</w:t>
            </w:r>
          </w:p>
        </w:tc>
      </w:tr>
    </w:tbl>
    <w:p>
      <w:pPr>
        <w:spacing w:before="480"/>
      </w:pPr>
    </w:p>
    <w:p>
      <w:r>
        <w:br w:type="page"/>
      </w:r>
    </w:p>
    <w:p>
      <w:pPr>
        <w:pStyle w:val="Heading1"/>
        <w:spacing w:before="360" w:after="160"/>
        <w:jc w:val="right"/>
        <w:keepNext/>
        <w:bidi w:val="1"/>
        <w:pBdr>
          <w:bottom w:val="single" w:sz="12" w:space="6" w:color="B8956B"/>
        </w:pBdr>
      </w:pPr>
      <w:r>
        <w:rPr>
          <w:rFonts w:ascii="Calibri" w:hAnsi="Calibri"/>
          <w:b/>
          <w:color w:val="0A192F"/>
          <w:sz w:val="44"/>
          <w:rtl w:val="1"/>
        </w:rPr>
        <w:t>ملخص تنفيذي</w:t>
      </w:r>
    </w:p>
    <w:tbl>
      <w:tblPr>
        <w:tblW w:type="auto" w:w="0"/>
        <w:tblLook w:firstColumn="1" w:firstRow="1" w:lastColumn="0" w:lastRow="0" w:noHBand="0" w:noVBand="1" w:val="04A0"/>
      </w:tblPr>
      <w:tblGrid>
        <w:gridCol w:w="8640"/>
      </w:tblGrid>
      <w:tr>
        <w:tc>
          <w:tcPr>
            <w:tcW w:type="dxa" w:w="8640"/>
            <w:shd w:val="clear" w:color="auto" w:fill="F7F5F0"/>
            <w:tcBorders>
              <w:top w:val="single" w:sz="4" w:space="0" w:color="F7F5F0"/>
              <w:left w:val="single" w:sz="24" w:space="0" w:color="B8956B"/>
              <w:bottom w:val="single" w:sz="4" w:space="0" w:color="F7F5F0"/>
              <w:right w:val="single" w:sz="4" w:space="0" w:color="F7F5F0"/>
            </w:tcBorders>
          </w:tcPr>
          <w:p>
            <w:pPr>
              <w:spacing w:before="120" w:after="120"/>
              <w:jc w:val="right"/>
              <w:bidi w:val="1"/>
            </w:pPr>
            <w:r>
              <w:rPr>
                <w:rFonts w:ascii="Calibri" w:hAnsi="Calibri"/>
                <w:b/>
                <w:color w:val="B8956B"/>
                <w:sz w:val="18"/>
              </w:rPr>
              <w:t xml:space="preserve">INFO  </w:t>
            </w:r>
            <w:r>
              <w:rPr>
                <w:rFonts w:ascii="Calibri" w:hAnsi="Calibri"/>
                <w:color w:val="1A202C"/>
                <w:sz w:val="20"/>
                <w:rtl w:val="1"/>
              </w:rPr>
              <w:t>أرقام رئيسية (تقديرات أولية قابلة للتحديث): حفظ نحو 20 طنًا من الطعام الزائد شهريًا، خفض هدر الطعام بنسبة تصل إلى 30%، إعادة تدوير نحو 15 طنًا من البلاستيك شهريًا، وشبكة مستهدفة تضم أكثر من 20 جمعية خيرية موثوقة في السلطنة.</w:t>
            </w:r>
          </w:p>
        </w:tc>
      </w:tr>
    </w:tbl>
    <w:p>
      <w:pPr>
        <w:spacing w:after="80"/>
      </w:pPr>
    </w:p>
    <w:p>
      <w:pPr>
        <w:spacing w:after="160" w:line="276" w:lineRule="auto"/>
        <w:jc w:val="right"/>
        <w:bidi w:val="1"/>
      </w:pPr>
      <w:r>
        <w:rPr>
          <w:rFonts w:ascii="Calibri" w:hAnsi="Calibri"/>
          <w:color w:val="1A202C"/>
          <w:sz w:val="22"/>
          <w:rtl w:val="1"/>
        </w:rPr>
        <w:t>يقوم المشروع على فكرة متكاملة تخدم المجتمع والبيئة معًا: حفظ الطعام الزائد من المطاعم والفنادق والمولات وتوزيعه على الجمعيات الخيرية الموثوقة، إلى جانب جمع البلاستيك والمخلفات القابلة لإعادة التدوير، وتقديم خدمات تدعم الاستدامة. يعتمد المردود المالي على اشتراكات سنوية تُباع للشركات والجمعيات الخيرية الموثوقة في سلطنة عُمان، بما يضمن استدامة المشروع ذاتيًا دون الاعتماد الكامل على التبرعات.</w:t>
      </w:r>
    </w:p>
    <w:p>
      <w:pPr>
        <w:pStyle w:val="Heading1"/>
        <w:spacing w:before="360" w:after="160"/>
        <w:jc w:val="right"/>
        <w:keepNext/>
        <w:bidi w:val="1"/>
        <w:pBdr>
          <w:bottom w:val="single" w:sz="12" w:space="6" w:color="B8956B"/>
        </w:pBdr>
      </w:pPr>
      <w:r>
        <w:rPr>
          <w:rFonts w:ascii="Calibri" w:hAnsi="Calibri"/>
          <w:b/>
          <w:color w:val="0A192F"/>
          <w:sz w:val="44"/>
          <w:rtl w:val="1"/>
        </w:rPr>
        <w:t>أولاً: نظرة عامة على المشروع</w:t>
      </w:r>
    </w:p>
    <w:p>
      <w:pPr>
        <w:spacing w:after="160" w:line="276" w:lineRule="auto"/>
        <w:jc w:val="right"/>
        <w:bidi w:val="1"/>
      </w:pPr>
      <w:r>
        <w:rPr>
          <w:rFonts w:ascii="Calibri" w:hAnsi="Calibri"/>
          <w:color w:val="1A202C"/>
          <w:sz w:val="22"/>
          <w:rtl w:val="1"/>
        </w:rPr>
        <w:t>رسالة المشروع هي تحويل الفائض إلى فائدة: فالطعام الذي كان يُهدر يصل إلى من يحتاجه، والبلاستيك الذي كان يلوّث البيئة يُجمع ويعاد تدويره، والشركات المشاركة تحصل على خدمة منظمة موثقة تعزز مسؤوليتها المجتمعية. يعمل المشروع ضمن إطار شراكات مع الجمعيات الخيرية الموثوقة في السلطنة وبالتنسيق مع الجهات الرقابية ذات العلاقة.</w:t>
      </w:r>
    </w:p>
    <w:p>
      <w:pPr>
        <w:spacing w:after="60"/>
        <w:ind w:right="504"/>
        <w:jc w:val="right"/>
        <w:bidi w:val="1"/>
      </w:pPr>
      <w:r>
        <w:rPr>
          <w:rFonts w:ascii="Calibri" w:hAnsi="Calibri"/>
          <w:color w:val="1A202C"/>
          <w:sz w:val="22"/>
          <w:rtl w:val="1"/>
        </w:rPr>
        <w:t>تقليل هدر الطعام عبر نظام حفظ وتخزين ونقل آمن وفق اشتراطات السلامة الغذائية</w:t>
      </w:r>
      <w:r>
        <w:rPr>
          <w:rFonts w:ascii="Calibri" w:hAnsi="Calibri"/>
          <w:color w:val="B8956B"/>
          <w:sz w:val="22"/>
        </w:rPr>
        <w:t xml:space="preserve">  •</w:t>
      </w:r>
    </w:p>
    <w:p>
      <w:pPr>
        <w:spacing w:after="60"/>
        <w:ind w:right="504"/>
        <w:jc w:val="right"/>
        <w:bidi w:val="1"/>
      </w:pPr>
      <w:r>
        <w:rPr>
          <w:rFonts w:ascii="Calibri" w:hAnsi="Calibri"/>
          <w:color w:val="1A202C"/>
          <w:sz w:val="22"/>
          <w:rtl w:val="1"/>
        </w:rPr>
        <w:t>توزيع الطعام المحفوظ على الجمعيات الخيرية الموثوقة ليصل إلى الأسر المستفيدة</w:t>
      </w:r>
      <w:r>
        <w:rPr>
          <w:rFonts w:ascii="Calibri" w:hAnsi="Calibri"/>
          <w:color w:val="B8956B"/>
          <w:sz w:val="22"/>
        </w:rPr>
        <w:t xml:space="preserve">  •</w:t>
      </w:r>
    </w:p>
    <w:p>
      <w:pPr>
        <w:spacing w:after="60"/>
        <w:ind w:right="504"/>
        <w:jc w:val="right"/>
        <w:bidi w:val="1"/>
      </w:pPr>
      <w:r>
        <w:rPr>
          <w:rFonts w:ascii="Calibri" w:hAnsi="Calibri"/>
          <w:color w:val="1A202C"/>
          <w:sz w:val="22"/>
          <w:rtl w:val="1"/>
        </w:rPr>
        <w:t>جمع البلاستيك والمخلفات القابلة لإعادة التدوير من الشركات المشاركة وتحويلها إلى مراكز التدوير</w:t>
      </w:r>
      <w:r>
        <w:rPr>
          <w:rFonts w:ascii="Calibri" w:hAnsi="Calibri"/>
          <w:color w:val="B8956B"/>
          <w:sz w:val="22"/>
        </w:rPr>
        <w:t xml:space="preserve">  •</w:t>
      </w:r>
    </w:p>
    <w:p>
      <w:pPr>
        <w:spacing w:after="60"/>
        <w:ind w:right="504"/>
        <w:jc w:val="right"/>
        <w:bidi w:val="1"/>
      </w:pPr>
      <w:r>
        <w:rPr>
          <w:rFonts w:ascii="Calibri" w:hAnsi="Calibri"/>
          <w:color w:val="1A202C"/>
          <w:sz w:val="22"/>
          <w:rtl w:val="1"/>
        </w:rPr>
        <w:t>توفير خدمات استدامة تشمل التوعية والتدريب وإعداد تقارير الأثر البيئي والاجتماعي</w:t>
      </w:r>
      <w:r>
        <w:rPr>
          <w:rFonts w:ascii="Calibri" w:hAnsi="Calibri"/>
          <w:color w:val="B8956B"/>
          <w:sz w:val="22"/>
        </w:rPr>
        <w:t xml:space="preserve">  •</w:t>
      </w:r>
    </w:p>
    <w:p>
      <w:pPr>
        <w:spacing w:after="60"/>
        <w:ind w:right="504"/>
        <w:jc w:val="right"/>
        <w:bidi w:val="1"/>
      </w:pPr>
      <w:r>
        <w:rPr>
          <w:rFonts w:ascii="Calibri" w:hAnsi="Calibri"/>
          <w:color w:val="1A202C"/>
          <w:sz w:val="22"/>
          <w:rtl w:val="1"/>
        </w:rPr>
        <w:t>بناء نموذج مالي مستدام عبر اشتراكات الشركات والجمعيات الخيرية</w:t>
      </w:r>
      <w:r>
        <w:rPr>
          <w:rFonts w:ascii="Calibri" w:hAnsi="Calibri"/>
          <w:color w:val="B8956B"/>
          <w:sz w:val="22"/>
        </w:rPr>
        <w:t xml:space="preserve">  •</w:t>
      </w:r>
    </w:p>
    <w:p>
      <w:pPr>
        <w:pStyle w:val="Heading1"/>
        <w:spacing w:before="360" w:after="160"/>
        <w:jc w:val="right"/>
        <w:keepNext/>
        <w:bidi w:val="1"/>
        <w:pBdr>
          <w:bottom w:val="single" w:sz="12" w:space="6" w:color="B8956B"/>
        </w:pBdr>
      </w:pPr>
      <w:r>
        <w:rPr>
          <w:rFonts w:ascii="Calibri" w:hAnsi="Calibri"/>
          <w:b/>
          <w:color w:val="0A192F"/>
          <w:sz w:val="44"/>
          <w:rtl w:val="1"/>
        </w:rPr>
        <w:t>ثانياً: الركائز الأساسية للمشروع</w:t>
      </w:r>
    </w:p>
    <w:p>
      <w:pPr>
        <w:pStyle w:val="Heading2"/>
        <w:spacing w:before="240" w:after="80"/>
        <w:jc w:val="right"/>
        <w:bidi w:val="1"/>
        <w:pBdr>
          <w:bottom w:val="single" w:sz="6" w:space="3" w:color="1B3A5F"/>
        </w:pBdr>
      </w:pPr>
      <w:r>
        <w:rPr>
          <w:rFonts w:ascii="Calibri" w:hAnsi="Calibri"/>
          <w:b/>
          <w:color w:val="1B3A5F"/>
          <w:sz w:val="30"/>
          <w:rtl w:val="1"/>
        </w:rPr>
        <w:t>1) حفظ الطعام الزائد وتصديره إلى الجمعيات الخيرية</w:t>
      </w:r>
    </w:p>
    <w:p>
      <w:pPr>
        <w:spacing w:after="160" w:line="276" w:lineRule="auto"/>
        <w:jc w:val="right"/>
        <w:bidi w:val="1"/>
      </w:pPr>
      <w:r>
        <w:rPr>
          <w:rFonts w:ascii="Calibri" w:hAnsi="Calibri"/>
          <w:color w:val="1A202C"/>
          <w:sz w:val="22"/>
          <w:rtl w:val="1"/>
        </w:rPr>
        <w:t>تُجمع الكميات الزائدة الصالحة للاستهلاك من المطاعم والفنادق والأسواق والمولات وفق جدول زمني يومي، ثم تُفرز وتُعبأ وتُحفظ وفق اشتراطات سلامة الغذاء، وتُنقل بمركبات مبردة إلى الجمعيات الخيرية الموثوقة لتوزيعها على الأسر المستفيدة، ويُوثَّق كل ذلك في سجل إلكتروني يضمن الشفافية والمساءلة.</w:t>
      </w:r>
    </w:p>
    <w:p>
      <w:pPr>
        <w:pStyle w:val="Heading2"/>
        <w:spacing w:before="240" w:after="80"/>
        <w:jc w:val="right"/>
        <w:bidi w:val="1"/>
        <w:pBdr>
          <w:bottom w:val="single" w:sz="6" w:space="3" w:color="1B3A5F"/>
        </w:pBdr>
      </w:pPr>
      <w:r>
        <w:rPr>
          <w:rFonts w:ascii="Calibri" w:hAnsi="Calibri"/>
          <w:b/>
          <w:color w:val="1B3A5F"/>
          <w:sz w:val="30"/>
          <w:rtl w:val="1"/>
        </w:rPr>
        <w:t>2) جمع البلاستيك والمخلفات القابلة لإعادة التدوير</w:t>
      </w:r>
    </w:p>
    <w:p>
      <w:pPr>
        <w:spacing w:after="160" w:line="276" w:lineRule="auto"/>
        <w:jc w:val="right"/>
        <w:bidi w:val="1"/>
      </w:pPr>
      <w:r>
        <w:rPr>
          <w:rFonts w:ascii="Calibri" w:hAnsi="Calibri"/>
          <w:color w:val="1A202C"/>
          <w:sz w:val="22"/>
          <w:rtl w:val="1"/>
        </w:rPr>
        <w:t>يوفّر المشروع للشركات المشاركة خدمة جمع منتظمة للبلاستيك والورق والكرتون والمعادن وغيرها من المخلفات القابلة لإعادة التدوير، مع فرزها في الموقع أو في مركز الفرز، ثم تحويلها إلى مراكز إعادة التدوير المرخصة. هذه الخدمة تخفف الضغط على مدافن النفايات وتخفض البصمة الكربونية للشركات.</w:t>
      </w:r>
    </w:p>
    <w:p>
      <w:pPr>
        <w:pStyle w:val="Heading2"/>
        <w:spacing w:before="240" w:after="80"/>
        <w:jc w:val="right"/>
        <w:bidi w:val="1"/>
        <w:pBdr>
          <w:bottom w:val="single" w:sz="6" w:space="3" w:color="1B3A5F"/>
        </w:pBdr>
      </w:pPr>
      <w:r>
        <w:rPr>
          <w:rFonts w:ascii="Calibri" w:hAnsi="Calibri"/>
          <w:b/>
          <w:color w:val="1B3A5F"/>
          <w:sz w:val="30"/>
          <w:rtl w:val="1"/>
        </w:rPr>
        <w:t>3) خدمات دعم الاستدامة</w:t>
      </w:r>
    </w:p>
    <w:p>
      <w:pPr>
        <w:spacing w:after="160" w:line="276" w:lineRule="auto"/>
        <w:jc w:val="right"/>
        <w:bidi w:val="1"/>
      </w:pPr>
      <w:r>
        <w:rPr>
          <w:rFonts w:ascii="Calibri" w:hAnsi="Calibri"/>
          <w:color w:val="1A202C"/>
          <w:sz w:val="22"/>
          <w:rtl w:val="1"/>
        </w:rPr>
        <w:t>إلى جانب جمع الطعام والمخلفات، يقدّم المشروع برامج توعية وورش عمل للموظفين حول الاستدامة والاستهلاك المسؤول، وتقارير دورية تقيس الأثر البيئي والاجتماعي لكل شركة مشتركة، بما يساعدها على توثيق مبادراتها في إطار المسؤولية المجتمعية للشركات.</w:t>
      </w:r>
    </w:p>
    <w:p>
      <w:pPr>
        <w:pStyle w:val="Heading1"/>
        <w:spacing w:before="360" w:after="160"/>
        <w:jc w:val="right"/>
        <w:keepNext/>
        <w:bidi w:val="1"/>
        <w:pBdr>
          <w:bottom w:val="single" w:sz="12" w:space="6" w:color="B8956B"/>
        </w:pBdr>
      </w:pPr>
      <w:r>
        <w:rPr>
          <w:rFonts w:ascii="Calibri" w:hAnsi="Calibri"/>
          <w:b/>
          <w:color w:val="0A192F"/>
          <w:sz w:val="44"/>
          <w:rtl w:val="1"/>
        </w:rPr>
        <w:t>ثالثاً: نموذج العمل والمردود المالي</w:t>
      </w:r>
    </w:p>
    <w:p>
      <w:pPr>
        <w:spacing w:after="160" w:line="276" w:lineRule="auto"/>
        <w:jc w:val="right"/>
        <w:bidi w:val="1"/>
      </w:pPr>
      <w:r>
        <w:rPr>
          <w:rFonts w:ascii="Calibri" w:hAnsi="Calibri"/>
          <w:color w:val="1A202C"/>
          <w:sz w:val="22"/>
          <w:rtl w:val="1"/>
        </w:rPr>
        <w:t>يعتمد المشروع على نموذج اشتراكات سنوية تُباع للشركات والجمعيات الخيرية الموثوقة في السلطنة. تحدد كل باقة نطاق الخدمة (توزيع الطعام، جمع المخلفات، التقارير والتوعية)، والأسعار أدناه تقديرات أولية قابلة للتفاوض حسب حجم ونطاق الخدمة.</w:t>
      </w:r>
    </w:p>
    <w:tbl>
      <w:tblPr>
        <w:tblStyle w:val="TableGrid"/>
        <w:tblW w:type="auto" w:w="0"/>
        <w:tblLayout w:type="autofit"/>
        <w:tblLook w:firstColumn="1" w:firstRow="1" w:lastColumn="0" w:lastRow="0" w:noHBand="0" w:noVBand="1" w:val="04A0"/>
      </w:tblPr>
      <w:tblGrid>
        <w:gridCol w:w="2160"/>
        <w:gridCol w:w="2160"/>
        <w:gridCol w:w="2160"/>
        <w:gridCol w:w="2160"/>
      </w:tblGrid>
      <w:tr>
        <w:tc>
          <w:tcPr>
            <w:tcW w:type="dxa" w:w="216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الباقة</w:t>
            </w:r>
          </w:p>
        </w:tc>
        <w:tc>
          <w:tcPr>
            <w:tcW w:type="dxa" w:w="216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الفئة المستهدفة</w:t>
            </w:r>
          </w:p>
        </w:tc>
        <w:tc>
          <w:tcPr>
            <w:tcW w:type="dxa" w:w="216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المزايا الرئيسية</w:t>
            </w:r>
          </w:p>
        </w:tc>
        <w:tc>
          <w:tcPr>
            <w:tcW w:type="dxa" w:w="216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السعر السنوي (تقديري)</w:t>
            </w:r>
          </w:p>
        </w:tc>
      </w:tr>
      <w:tr>
        <w:tc>
          <w:tcPr>
            <w:tcW w:type="dxa" w:w="216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الأساسية</w:t>
            </w:r>
          </w:p>
        </w:tc>
        <w:tc>
          <w:tcPr>
            <w:tcW w:type="dxa" w:w="216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الجمعيات الخيرية الموثوقة</w:t>
            </w:r>
          </w:p>
        </w:tc>
        <w:tc>
          <w:tcPr>
            <w:tcW w:type="dxa" w:w="216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استلام الطعام المحفوظ وتوزيعه + تقارير شهرية</w:t>
            </w:r>
          </w:p>
        </w:tc>
        <w:tc>
          <w:tcPr>
            <w:tcW w:type="dxa" w:w="216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500 ر.ع</w:t>
            </w:r>
          </w:p>
        </w:tc>
      </w:tr>
      <w:tr>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الاستدامة</w:t>
            </w:r>
          </w:p>
        </w:tc>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الشركات الصغيرة والمتوسطة</w:t>
            </w:r>
          </w:p>
        </w:tc>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جمع الطعام الزائد + جمع المخلفات القابلة للتدوير + تقرير أثر ربع سنوي</w:t>
            </w:r>
          </w:p>
        </w:tc>
        <w:tc>
          <w:tcPr>
            <w:tcW w:type="dxa" w:w="216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1,000 ر.ع</w:t>
            </w:r>
          </w:p>
        </w:tc>
      </w:tr>
      <w:tr>
        <w:tc>
          <w:tcPr>
            <w:tcW w:type="dxa" w:w="216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الشراكة</w:t>
            </w:r>
          </w:p>
        </w:tc>
        <w:tc>
          <w:tcPr>
            <w:tcW w:type="dxa" w:w="216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الشركات الكبرى والمجمعات التجارية</w:t>
            </w:r>
          </w:p>
        </w:tc>
        <w:tc>
          <w:tcPr>
            <w:tcW w:type="dxa" w:w="216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جميع الخدمات + برامج توعية للموظفين + شهادة أثر سنوية + توثيق المسؤولية المجتمعية</w:t>
            </w:r>
          </w:p>
        </w:tc>
        <w:tc>
          <w:tcPr>
            <w:tcW w:type="dxa" w:w="216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2,500 ر.ع</w:t>
            </w:r>
          </w:p>
        </w:tc>
      </w:tr>
    </w:tbl>
    <w:p>
      <w:pPr>
        <w:spacing w:after="120"/>
      </w:pPr>
    </w:p>
    <w:tbl>
      <w:tblPr>
        <w:tblW w:type="auto" w:w="0"/>
        <w:tblLook w:firstColumn="1" w:firstRow="1" w:lastColumn="0" w:lastRow="0" w:noHBand="0" w:noVBand="1" w:val="04A0"/>
      </w:tblPr>
      <w:tblGrid>
        <w:gridCol w:w="8640"/>
      </w:tblGrid>
      <w:tr>
        <w:tc>
          <w:tcPr>
            <w:tcW w:type="dxa" w:w="8640"/>
            <w:shd w:val="clear" w:color="auto" w:fill="ECFDF5"/>
            <w:tcBorders>
              <w:top w:val="single" w:sz="4" w:space="0" w:color="ECFDF5"/>
              <w:left w:val="single" w:sz="24" w:space="0" w:color="059669"/>
              <w:bottom w:val="single" w:sz="4" w:space="0" w:color="ECFDF5"/>
              <w:right w:val="single" w:sz="4" w:space="0" w:color="ECFDF5"/>
            </w:tcBorders>
          </w:tcPr>
          <w:p>
            <w:pPr>
              <w:spacing w:before="120" w:after="120"/>
              <w:jc w:val="right"/>
              <w:bidi w:val="1"/>
            </w:pPr>
            <w:r>
              <w:rPr>
                <w:rFonts w:ascii="Calibri" w:hAnsi="Calibri"/>
                <w:b/>
                <w:color w:val="059669"/>
                <w:sz w:val="18"/>
              </w:rPr>
              <w:t xml:space="preserve">TIP  </w:t>
            </w:r>
            <w:r>
              <w:rPr>
                <w:rFonts w:ascii="Calibri" w:hAnsi="Calibri"/>
                <w:color w:val="1A202C"/>
                <w:sz w:val="20"/>
                <w:rtl w:val="1"/>
              </w:rPr>
              <w:t>تدفقات إيرادات إضافية محتملة (تقديرية): بيع المواد المجمعة القابلة لإعادة التدوير إلى مراكز التدوير، التبرعات العينية والدعم الحكومي، وبرامج الرعاية (Sponsorship) للفعاليات والمبادرات.</w:t>
            </w:r>
          </w:p>
        </w:tc>
      </w:tr>
    </w:tbl>
    <w:p>
      <w:pPr>
        <w:spacing w:after="80"/>
      </w:pPr>
    </w:p>
    <w:p>
      <w:pPr>
        <w:pStyle w:val="Heading1"/>
        <w:spacing w:before="360" w:after="160"/>
        <w:jc w:val="right"/>
        <w:keepNext/>
        <w:bidi w:val="1"/>
        <w:pBdr>
          <w:bottom w:val="single" w:sz="12" w:space="6" w:color="B8956B"/>
        </w:pBdr>
      </w:pPr>
      <w:r>
        <w:rPr>
          <w:rFonts w:ascii="Calibri" w:hAnsi="Calibri"/>
          <w:b/>
          <w:color w:val="0A192F"/>
          <w:sz w:val="44"/>
          <w:rtl w:val="1"/>
        </w:rPr>
        <w:t>رابعاً: الفئات المستهدفة والشركاء</w:t>
      </w:r>
    </w:p>
    <w:p>
      <w:pPr>
        <w:spacing w:after="60"/>
        <w:ind w:right="504"/>
        <w:jc w:val="right"/>
        <w:bidi w:val="1"/>
      </w:pPr>
      <w:r>
        <w:rPr>
          <w:rFonts w:ascii="Calibri" w:hAnsi="Calibri"/>
          <w:color w:val="1A202C"/>
          <w:sz w:val="22"/>
          <w:rtl w:val="1"/>
        </w:rPr>
        <w:t>الجمعيات الخيرية الموثوقة المرخصة في سلطنة عُمان</w:t>
      </w:r>
      <w:r>
        <w:rPr>
          <w:rFonts w:ascii="Calibri" w:hAnsi="Calibri"/>
          <w:color w:val="B8956B"/>
          <w:sz w:val="22"/>
        </w:rPr>
        <w:t xml:space="preserve">  •</w:t>
      </w:r>
    </w:p>
    <w:p>
      <w:pPr>
        <w:spacing w:after="60"/>
        <w:ind w:right="504"/>
        <w:jc w:val="right"/>
        <w:bidi w:val="1"/>
      </w:pPr>
      <w:r>
        <w:rPr>
          <w:rFonts w:ascii="Calibri" w:hAnsi="Calibri"/>
          <w:color w:val="1A202C"/>
          <w:sz w:val="22"/>
          <w:rtl w:val="1"/>
        </w:rPr>
        <w:t>المطاعم والفنادق والمولات ومحلات التجزئة كمصادر للطعام الزائد</w:t>
      </w:r>
      <w:r>
        <w:rPr>
          <w:rFonts w:ascii="Calibri" w:hAnsi="Calibri"/>
          <w:color w:val="B8956B"/>
          <w:sz w:val="22"/>
        </w:rPr>
        <w:t xml:space="preserve">  •</w:t>
      </w:r>
    </w:p>
    <w:p>
      <w:pPr>
        <w:spacing w:after="60"/>
        <w:ind w:right="504"/>
        <w:jc w:val="right"/>
        <w:bidi w:val="1"/>
      </w:pPr>
      <w:r>
        <w:rPr>
          <w:rFonts w:ascii="Calibri" w:hAnsi="Calibri"/>
          <w:color w:val="1A202C"/>
          <w:sz w:val="22"/>
          <w:rtl w:val="1"/>
        </w:rPr>
        <w:t>الشركات والمؤسسات المشتركة في خدمات الاستدامة</w:t>
      </w:r>
      <w:r>
        <w:rPr>
          <w:rFonts w:ascii="Calibri" w:hAnsi="Calibri"/>
          <w:color w:val="B8956B"/>
          <w:sz w:val="22"/>
        </w:rPr>
        <w:t xml:space="preserve">  •</w:t>
      </w:r>
    </w:p>
    <w:p>
      <w:pPr>
        <w:spacing w:after="60"/>
        <w:ind w:right="504"/>
        <w:jc w:val="right"/>
        <w:bidi w:val="1"/>
      </w:pPr>
      <w:r>
        <w:rPr>
          <w:rFonts w:ascii="Calibri" w:hAnsi="Calibri"/>
          <w:color w:val="1A202C"/>
          <w:sz w:val="22"/>
          <w:rtl w:val="1"/>
        </w:rPr>
        <w:t>الجهات الحكومية ذات العلاقة: البلديات، هيئة البيئة، وزارة التنمية الاجتماعية (للتنسيق والترخيص)</w:t>
      </w:r>
      <w:r>
        <w:rPr>
          <w:rFonts w:ascii="Calibri" w:hAnsi="Calibri"/>
          <w:color w:val="B8956B"/>
          <w:sz w:val="22"/>
        </w:rPr>
        <w:t xml:space="preserve">  •</w:t>
      </w:r>
    </w:p>
    <w:p>
      <w:pPr>
        <w:pStyle w:val="Heading1"/>
        <w:spacing w:before="360" w:after="160"/>
        <w:jc w:val="right"/>
        <w:keepNext/>
        <w:bidi w:val="1"/>
        <w:pBdr>
          <w:bottom w:val="single" w:sz="12" w:space="6" w:color="B8956B"/>
        </w:pBdr>
      </w:pPr>
      <w:r>
        <w:rPr>
          <w:rFonts w:ascii="Calibri" w:hAnsi="Calibri"/>
          <w:b/>
          <w:color w:val="0A192F"/>
          <w:sz w:val="44"/>
          <w:rtl w:val="1"/>
        </w:rPr>
        <w:t>خامساً: الأثر المتوقع</w:t>
      </w:r>
    </w:p>
    <w:tbl>
      <w:tblPr>
        <w:tblStyle w:val="TableGrid"/>
        <w:tblW w:type="auto" w:w="0"/>
        <w:tblLayout w:type="autofit"/>
        <w:tblLook w:firstColumn="1" w:firstRow="1" w:lastColumn="0" w:lastRow="0" w:noHBand="0" w:noVBand="1" w:val="04A0"/>
      </w:tblPr>
      <w:tblGrid>
        <w:gridCol w:w="4320"/>
        <w:gridCol w:w="4320"/>
      </w:tblGrid>
      <w:tr>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البعد</w:t>
            </w:r>
          </w:p>
        </w:tc>
        <w:tc>
          <w:tcPr>
            <w:tcW w:type="dxa" w:w="432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الأثر المتوقع (تقديرات)</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البيئي</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خفض هدر الطعام، تقليل المخلفات البلاستيكية، تخفيض الانبعاثات المرتبطة بالنفايات</w:t>
            </w:r>
          </w:p>
        </w:tc>
      </w:tr>
      <w:tr>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الاجتماعي</w:t>
            </w:r>
          </w:p>
        </w:tc>
        <w:tc>
          <w:tcPr>
            <w:tcW w:type="dxa" w:w="432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وصول الطعام إلى الأسر المستفيدة، دعم الجمعيات الخيرية، نشر ثقافة الاستدامة</w:t>
            </w:r>
          </w:p>
        </w:tc>
      </w:tr>
      <w:tr>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الاقتصادي</w:t>
            </w:r>
          </w:p>
        </w:tc>
        <w:tc>
          <w:tcPr>
            <w:tcW w:type="dxa" w:w="432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مردود مالي مستدام للجمعيات والشركات، خفض تكاليف التخلص من النفايات، إيجاد فرص عمل</w:t>
            </w:r>
          </w:p>
        </w:tc>
      </w:tr>
    </w:tbl>
    <w:p>
      <w:pPr>
        <w:spacing w:after="120"/>
      </w:pPr>
    </w:p>
    <w:p>
      <w:pPr>
        <w:pStyle w:val="Heading1"/>
        <w:spacing w:before="360" w:after="160"/>
        <w:jc w:val="right"/>
        <w:keepNext/>
        <w:bidi w:val="1"/>
        <w:pBdr>
          <w:bottom w:val="single" w:sz="12" w:space="6" w:color="B8956B"/>
        </w:pBdr>
      </w:pPr>
      <w:r>
        <w:rPr>
          <w:rFonts w:ascii="Calibri" w:hAnsi="Calibri"/>
          <w:b/>
          <w:color w:val="0A192F"/>
          <w:sz w:val="44"/>
          <w:rtl w:val="1"/>
        </w:rPr>
        <w:t>سادساً: خطة التنفيذ (4 مراحل / 6 أشهر)</w:t>
      </w:r>
    </w:p>
    <w:p>
      <w:pPr>
        <w:spacing w:after="160" w:line="276" w:lineRule="auto"/>
        <w:jc w:val="right"/>
        <w:bidi w:val="1"/>
      </w:pPr>
      <w:r>
        <w:rPr>
          <w:rFonts w:ascii="Calibri" w:hAnsi="Calibri"/>
          <w:color w:val="1A202C"/>
          <w:sz w:val="22"/>
          <w:rtl w:val="1"/>
        </w:rPr>
        <w:t>تنفَّذ المراحل الأربع على مدى ستة أشهر، وكل مرحلة مرتبطة بالتي تسبقها: تبدأ بمرحلة التخطيط والتهيئة، ثم التصميم والتطوير، فالاختبار والتقييم، وتختتم بالإطلاق والمتابعة، من 10 أغسطس 2026 إلى 9 فبراير 2027.</w:t>
      </w:r>
    </w:p>
    <w:tbl>
      <w:tblPr>
        <w:tblStyle w:val="TableGrid"/>
        <w:tblW w:type="auto" w:w="0"/>
        <w:tblLayout w:type="autofit"/>
        <w:tblLook w:firstColumn="1" w:firstRow="1" w:lastColumn="0" w:lastRow="0" w:noHBand="0" w:noVBand="1" w:val="04A0"/>
      </w:tblPr>
      <w:tblGrid>
        <w:gridCol w:w="2880"/>
        <w:gridCol w:w="2880"/>
        <w:gridCol w:w="2880"/>
      </w:tblGrid>
      <w:tr>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المرحلة</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النطاق</w:t>
            </w:r>
          </w:p>
        </w:tc>
        <w:tc>
          <w:tcPr>
            <w:tcW w:type="dxa" w:w="2880"/>
            <w:shd w:val="clear" w:color="auto" w:fill="0A192F"/>
            <w:tcBorders>
              <w:top w:val="single" w:sz="4" w:space="0" w:color="0A192F"/>
              <w:left w:val="single" w:sz="4" w:space="0" w:color="0A192F"/>
              <w:bottom w:val="single" w:sz="4" w:space="0" w:color="0A192F"/>
              <w:right w:val="single" w:sz="4" w:space="0" w:color="0A192F"/>
            </w:tcBorders>
          </w:tcPr>
          <w:p>
            <w:pPr>
              <w:spacing w:before="80" w:after="80"/>
              <w:jc w:val="right"/>
              <w:bidi w:val="1"/>
            </w:pPr>
            <w:r/>
            <w:r>
              <w:rPr>
                <w:rFonts w:ascii="Calibri" w:hAnsi="Calibri"/>
                <w:b/>
                <w:color w:val="F8FAFC"/>
                <w:sz w:val="20"/>
                <w:rtl w:val="1"/>
              </w:rPr>
              <w:t>المدة</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المرحلة 1: التخطيط والتهيئة</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الدراسة، التراخيص، اتفاقيات الشركاء</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 أغسطس – 9 سبتمبر 2026</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المرحلة 2: التصميم والتطوير</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بناء منظومة العمل، نظام الحفظ والنقل، منصة التوثيق</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 سبتمبر – 9 نوفمبر 2026</w:t>
            </w:r>
          </w:p>
        </w:tc>
      </w:tr>
      <w:tr>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المرحلة 3: الاختبار والتقييم</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تشغيل تجريبي مع شركاء مختارين، قياس الجودة والأثر</w:t>
            </w:r>
          </w:p>
        </w:tc>
        <w:tc>
          <w:tcPr>
            <w:tcW w:type="dxa" w:w="2880"/>
            <w:shd w:val="clear" w:color="auto" w:fill="F7F5F0"/>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10 نوفمبر – 31 ديسمبر 2026</w:t>
            </w:r>
          </w:p>
        </w:tc>
      </w:tr>
      <w:tr>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المرحلة 4: الإطلاق والمتابعة</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الإطلاق الرسمي، التسويق للاشتراكات، المتابعة والتطوير</w:t>
            </w:r>
          </w:p>
        </w:tc>
        <w:tc>
          <w:tcPr>
            <w:tcW w:type="dxa" w:w="2880"/>
            <w:shd w:val="clear" w:color="auto" w:fill="FFFFFF"/>
            <w:tcBorders>
              <w:top w:val="single" w:sz="4" w:space="0" w:color="CBD5E1"/>
              <w:left w:val="single" w:sz="4" w:space="0" w:color="CBD5E1"/>
              <w:bottom w:val="single" w:sz="4" w:space="0" w:color="CBD5E1"/>
              <w:right w:val="single" w:sz="4" w:space="0" w:color="CBD5E1"/>
            </w:tcBorders>
          </w:tcPr>
          <w:p>
            <w:pPr>
              <w:spacing w:before="60" w:after="60"/>
              <w:jc w:val="right"/>
              <w:bidi w:val="1"/>
            </w:pPr>
            <w:r/>
            <w:r>
              <w:rPr>
                <w:rFonts w:ascii="Calibri" w:hAnsi="Calibri"/>
                <w:color w:val="1A202C"/>
                <w:sz w:val="20"/>
                <w:rtl w:val="1"/>
              </w:rPr>
              <w:t>1 يناير – 9 فبراير 2027</w:t>
            </w:r>
          </w:p>
        </w:tc>
      </w:tr>
    </w:tbl>
    <w:p>
      <w:pPr>
        <w:spacing w:after="120"/>
      </w:pPr>
    </w:p>
    <w:p>
      <w:pPr>
        <w:pStyle w:val="Heading1"/>
        <w:spacing w:before="360" w:after="160"/>
        <w:jc w:val="right"/>
        <w:keepNext/>
        <w:bidi w:val="1"/>
        <w:pBdr>
          <w:bottom w:val="single" w:sz="12" w:space="6" w:color="B8956B"/>
        </w:pBdr>
      </w:pPr>
      <w:r>
        <w:rPr>
          <w:rFonts w:ascii="Calibri" w:hAnsi="Calibri"/>
          <w:b/>
          <w:color w:val="0A192F"/>
          <w:sz w:val="44"/>
          <w:rtl w:val="1"/>
        </w:rPr>
        <w:t>سابعاً: المخاطر والافتراضات</w:t>
      </w:r>
    </w:p>
    <w:tbl>
      <w:tblPr>
        <w:tblW w:type="auto" w:w="0"/>
        <w:tblLook w:firstColumn="1" w:firstRow="1" w:lastColumn="0" w:lastRow="0" w:noHBand="0" w:noVBand="1" w:val="04A0"/>
      </w:tblPr>
      <w:tblGrid>
        <w:gridCol w:w="8640"/>
      </w:tblGrid>
      <w:tr>
        <w:tc>
          <w:tcPr>
            <w:tcW w:type="dxa" w:w="8640"/>
            <w:shd w:val="clear" w:color="auto" w:fill="FFFBEB"/>
            <w:tcBorders>
              <w:top w:val="single" w:sz="4" w:space="0" w:color="FFFBEB"/>
              <w:left w:val="single" w:sz="24" w:space="0" w:color="D97706"/>
              <w:bottom w:val="single" w:sz="4" w:space="0" w:color="FFFBEB"/>
              <w:right w:val="single" w:sz="4" w:space="0" w:color="FFFBEB"/>
            </w:tcBorders>
          </w:tcPr>
          <w:p>
            <w:pPr>
              <w:spacing w:before="120" w:after="120"/>
              <w:jc w:val="right"/>
              <w:bidi w:val="1"/>
            </w:pPr>
            <w:r>
              <w:rPr>
                <w:rFonts w:ascii="Calibri" w:hAnsi="Calibri"/>
                <w:b/>
                <w:color w:val="D97706"/>
                <w:sz w:val="18"/>
              </w:rPr>
              <w:t xml:space="preserve">WARNING  </w:t>
            </w:r>
            <w:r>
              <w:rPr>
                <w:rFonts w:ascii="Calibri" w:hAnsi="Calibri"/>
                <w:color w:val="1A202C"/>
                <w:sz w:val="20"/>
                <w:rtl w:val="1"/>
              </w:rPr>
              <w:t>افتراضات رئيسية: توفر التراخيص والموافقات من الجهات المختصة، التزام الشركات المشاركة باشتراطات السلامة الغذائية، ووجود مراكز إعادة تدوير مرخصة في نطاق التشغيل. مخاطر محتملة: تقلب كميات الطعام الزائد، تكاليف النقل المبرد، واعتماد نموذج الاشتراكات على إقناع الشركات بقيمة الخدمة.</w:t>
            </w:r>
          </w:p>
        </w:tc>
      </w:tr>
    </w:tbl>
    <w:p>
      <w:pPr>
        <w:spacing w:after="80"/>
      </w:pPr>
    </w:p>
    <w:p>
      <w:pPr>
        <w:pStyle w:val="Heading1"/>
        <w:spacing w:before="360" w:after="160"/>
        <w:jc w:val="right"/>
        <w:keepNext/>
        <w:bidi w:val="1"/>
        <w:pBdr>
          <w:bottom w:val="single" w:sz="12" w:space="6" w:color="B8956B"/>
        </w:pBdr>
      </w:pPr>
      <w:r>
        <w:rPr>
          <w:rFonts w:ascii="Calibri" w:hAnsi="Calibri"/>
          <w:b/>
          <w:color w:val="0A192F"/>
          <w:sz w:val="44"/>
          <w:rtl w:val="1"/>
        </w:rPr>
        <w:t>التوصيات</w:t>
      </w:r>
    </w:p>
    <w:p>
      <w:pPr>
        <w:spacing w:after="60"/>
        <w:ind w:right="504"/>
        <w:jc w:val="right"/>
        <w:bidi w:val="1"/>
      </w:pPr>
      <w:r>
        <w:rPr>
          <w:rFonts w:ascii="Calibri" w:hAnsi="Calibri"/>
          <w:color w:val="1A202C"/>
          <w:sz w:val="22"/>
          <w:rtl w:val="1"/>
        </w:rPr>
        <w:t>اعتماد قائمة محددة من الجمعيات الخيرية الموثوقة وبناء اتفاقيات شراكة مكتوبة معها</w:t>
      </w:r>
      <w:r>
        <w:rPr>
          <w:rFonts w:ascii="Calibri" w:hAnsi="Calibri"/>
          <w:color w:val="B8956B"/>
          <w:sz w:val="22"/>
        </w:rPr>
        <w:t xml:space="preserve">  1.</w:t>
      </w:r>
    </w:p>
    <w:p>
      <w:pPr>
        <w:spacing w:after="60"/>
        <w:ind w:right="504"/>
        <w:jc w:val="right"/>
        <w:bidi w:val="1"/>
      </w:pPr>
      <w:r>
        <w:rPr>
          <w:rFonts w:ascii="Calibri" w:hAnsi="Calibri"/>
          <w:color w:val="1A202C"/>
          <w:sz w:val="22"/>
          <w:rtl w:val="1"/>
        </w:rPr>
        <w:t>تجهيز أسطول نقل مبرد وحاويات معقمة تلبي اشتراطات سلامة الغذاء</w:t>
      </w:r>
      <w:r>
        <w:rPr>
          <w:rFonts w:ascii="Calibri" w:hAnsi="Calibri"/>
          <w:color w:val="B8956B"/>
          <w:sz w:val="22"/>
        </w:rPr>
        <w:t xml:space="preserve">  2.</w:t>
      </w:r>
    </w:p>
    <w:p>
      <w:pPr>
        <w:spacing w:after="60"/>
        <w:ind w:right="504"/>
        <w:jc w:val="right"/>
        <w:bidi w:val="1"/>
      </w:pPr>
      <w:r>
        <w:rPr>
          <w:rFonts w:ascii="Calibri" w:hAnsi="Calibri"/>
          <w:color w:val="1A202C"/>
          <w:sz w:val="22"/>
          <w:rtl w:val="1"/>
        </w:rPr>
        <w:t>إطلاق حملة تعريفية للشركات تعرض أثر الاشتراك بالأرقام</w:t>
      </w:r>
      <w:r>
        <w:rPr>
          <w:rFonts w:ascii="Calibri" w:hAnsi="Calibri"/>
          <w:color w:val="B8956B"/>
          <w:sz w:val="22"/>
        </w:rPr>
        <w:t xml:space="preserve">  3.</w:t>
      </w:r>
    </w:p>
    <w:p>
      <w:pPr>
        <w:spacing w:after="60"/>
        <w:ind w:right="504"/>
        <w:jc w:val="right"/>
        <w:bidi w:val="1"/>
      </w:pPr>
      <w:r>
        <w:rPr>
          <w:rFonts w:ascii="Calibri" w:hAnsi="Calibri"/>
          <w:color w:val="1A202C"/>
          <w:sz w:val="22"/>
          <w:rtl w:val="1"/>
        </w:rPr>
        <w:t>البدء بتشغيل تجريبي في محافظة واحدة قبل التوسع إلى باقي المحافظات</w:t>
      </w:r>
      <w:r>
        <w:rPr>
          <w:rFonts w:ascii="Calibri" w:hAnsi="Calibri"/>
          <w:color w:val="B8956B"/>
          <w:sz w:val="22"/>
        </w:rPr>
        <w:t xml:space="preserve">  4.</w:t>
      </w:r>
    </w:p>
    <w:p>
      <w:pPr>
        <w:spacing w:after="60"/>
        <w:ind w:right="504"/>
        <w:jc w:val="right"/>
        <w:bidi w:val="1"/>
      </w:pPr>
      <w:r>
        <w:rPr>
          <w:rFonts w:ascii="Calibri" w:hAnsi="Calibri"/>
          <w:color w:val="1A202C"/>
          <w:sz w:val="22"/>
          <w:rtl w:val="1"/>
        </w:rPr>
        <w:t>ربط التقارير الدورية بمنصة إلكترونية لضمان الشفافية وتوثيق الأثر</w:t>
      </w:r>
      <w:r>
        <w:rPr>
          <w:rFonts w:ascii="Calibri" w:hAnsi="Calibri"/>
          <w:color w:val="B8956B"/>
          <w:sz w:val="22"/>
        </w:rPr>
        <w:t xml:space="preserve">  5.</w:t>
      </w:r>
    </w:p>
    <w:p>
      <w:pPr>
        <w:spacing w:after="160" w:line="276" w:lineRule="auto"/>
        <w:jc w:val="right"/>
        <w:bidi w:val="1"/>
      </w:pPr>
      <w:r>
        <w:rPr>
          <w:rFonts w:ascii="Calibri" w:hAnsi="Calibri"/>
          <w:color w:val="1A202C"/>
          <w:sz w:val="22"/>
          <w:rtl w:val="1"/>
        </w:rPr>
        <w:t>المشروع نموذج قابل للتوسع يجمع بين العمل الخيري والعمل البيئي والمردود المالي المستدام، ويحقق أهدافًا مشتركة لسلطنة عُمان في خفض الهدر ودعم المجتمع وتحقيق الاستدامة.</w:t>
      </w:r>
    </w:p>
    <w:sectPr w:rsidR="00FC693F" w:rsidRPr="0006063C" w:rsidSect="00034616">
      <w:headerReference w:type="default" r:id="rId9"/>
      <w:headerReference w:type="first" r:id="rId10"/>
      <w:footerReference w:type="default" r:id="rId11"/>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6" w:space="4" w:color="B8956B"/>
      </w:pBdr>
    </w:pPr>
    <w:r>
      <w:rPr>
        <w:rFonts w:ascii="Calibri" w:hAnsi="Calibri"/>
        <w:color w:val="1B3A5F"/>
        <w:sz w:val="18"/>
      </w:rPr>
      <w:t xml:space="preserve">Page </w:t>
    </w:r>
    <w:r>
      <w:rPr>
        <w:rFonts w:ascii="Calibri" w:hAnsi="Calibri"/>
        <w:color w:val="1B3A5F"/>
        <w:sz w:val="18"/>
      </w:rPr>
      <w:fldChar w:fldCharType="begin"/>
      <w:instrText>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8" w:space="4" w:color="B8956B"/>
      </w:pBdr>
    </w:pPr>
    <w:r>
      <w:rPr>
        <w:rFonts w:ascii="Calibri" w:hAnsi="Calibri"/>
        <w:color w:val="1B3A5F"/>
        <w:sz w:val="16"/>
      </w:rPr>
      <w:t>تقرير المشروع — حفظ الطعام الزائد ودعم الاستدامة</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